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4E03" w14:textId="77777777" w:rsidR="00334BC0" w:rsidRDefault="00000000">
      <w:pPr>
        <w:jc w:val="center"/>
        <w:rPr>
          <w:b/>
        </w:rPr>
      </w:pPr>
      <w:r>
        <w:rPr>
          <w:b/>
        </w:rPr>
        <w:t>TEMÁTICAS TRATADAS EN EL MARCO DE RESPONSABILIDAD SOCIAL UNIVERSITARIA</w:t>
      </w:r>
    </w:p>
    <w:p w14:paraId="0DE34E04" w14:textId="77777777" w:rsidR="00334BC0" w:rsidRDefault="00334BC0">
      <w:pPr>
        <w:jc w:val="center"/>
        <w:rPr>
          <w:b/>
        </w:rPr>
      </w:pP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334BC0" w14:paraId="0DE34E07" w14:textId="77777777">
        <w:tc>
          <w:tcPr>
            <w:tcW w:w="4514" w:type="dxa"/>
            <w:shd w:val="clear" w:color="auto" w:fill="auto"/>
            <w:tcMar>
              <w:top w:w="100" w:type="dxa"/>
              <w:left w:w="100" w:type="dxa"/>
              <w:bottom w:w="100" w:type="dxa"/>
              <w:right w:w="100" w:type="dxa"/>
            </w:tcMar>
          </w:tcPr>
          <w:p w14:paraId="0DE34E05" w14:textId="77777777" w:rsidR="00334BC0" w:rsidRDefault="00000000">
            <w:pPr>
              <w:widowControl w:val="0"/>
              <w:pBdr>
                <w:top w:val="nil"/>
                <w:left w:val="nil"/>
                <w:bottom w:val="nil"/>
                <w:right w:val="nil"/>
                <w:between w:val="nil"/>
              </w:pBdr>
              <w:spacing w:line="240" w:lineRule="auto"/>
              <w:rPr>
                <w:b/>
              </w:rPr>
            </w:pPr>
            <w:r>
              <w:rPr>
                <w:b/>
              </w:rPr>
              <w:t>Ejes de responsabilidad social</w:t>
            </w:r>
          </w:p>
        </w:tc>
        <w:tc>
          <w:tcPr>
            <w:tcW w:w="4514" w:type="dxa"/>
            <w:shd w:val="clear" w:color="auto" w:fill="auto"/>
            <w:tcMar>
              <w:top w:w="100" w:type="dxa"/>
              <w:left w:w="100" w:type="dxa"/>
              <w:bottom w:w="100" w:type="dxa"/>
              <w:right w:w="100" w:type="dxa"/>
            </w:tcMar>
          </w:tcPr>
          <w:p w14:paraId="0DE34E06" w14:textId="77777777" w:rsidR="00334BC0" w:rsidRDefault="00000000">
            <w:pPr>
              <w:widowControl w:val="0"/>
              <w:pBdr>
                <w:top w:val="nil"/>
                <w:left w:val="nil"/>
                <w:bottom w:val="nil"/>
                <w:right w:val="nil"/>
                <w:between w:val="nil"/>
              </w:pBdr>
              <w:spacing w:line="240" w:lineRule="auto"/>
              <w:rPr>
                <w:b/>
              </w:rPr>
            </w:pPr>
            <w:r>
              <w:rPr>
                <w:b/>
              </w:rPr>
              <w:t>Temáticas</w:t>
            </w:r>
          </w:p>
        </w:tc>
      </w:tr>
      <w:tr w:rsidR="00334BC0" w14:paraId="0DE34E0E" w14:textId="77777777">
        <w:tc>
          <w:tcPr>
            <w:tcW w:w="4514" w:type="dxa"/>
            <w:shd w:val="clear" w:color="auto" w:fill="auto"/>
            <w:tcMar>
              <w:top w:w="100" w:type="dxa"/>
              <w:left w:w="100" w:type="dxa"/>
              <w:bottom w:w="100" w:type="dxa"/>
              <w:right w:w="100" w:type="dxa"/>
            </w:tcMar>
          </w:tcPr>
          <w:p w14:paraId="0DE34E08" w14:textId="77777777" w:rsidR="00334BC0" w:rsidRDefault="00000000">
            <w:pPr>
              <w:widowControl w:val="0"/>
              <w:pBdr>
                <w:top w:val="nil"/>
                <w:left w:val="nil"/>
                <w:bottom w:val="nil"/>
                <w:right w:val="nil"/>
                <w:between w:val="nil"/>
              </w:pBdr>
              <w:spacing w:line="240" w:lineRule="auto"/>
              <w:rPr>
                <w:b/>
              </w:rPr>
            </w:pPr>
            <w:r>
              <w:rPr>
                <w:b/>
              </w:rPr>
              <w:t xml:space="preserve">Campus responsable </w:t>
            </w:r>
          </w:p>
        </w:tc>
        <w:tc>
          <w:tcPr>
            <w:tcW w:w="4514" w:type="dxa"/>
            <w:shd w:val="clear" w:color="auto" w:fill="auto"/>
            <w:tcMar>
              <w:top w:w="100" w:type="dxa"/>
              <w:left w:w="100" w:type="dxa"/>
              <w:bottom w:w="100" w:type="dxa"/>
              <w:right w:w="100" w:type="dxa"/>
            </w:tcMar>
          </w:tcPr>
          <w:p w14:paraId="0DE34E09" w14:textId="77777777" w:rsidR="00334BC0" w:rsidRDefault="00000000">
            <w:pPr>
              <w:widowControl w:val="0"/>
              <w:pBdr>
                <w:top w:val="nil"/>
                <w:left w:val="nil"/>
                <w:bottom w:val="nil"/>
                <w:right w:val="nil"/>
                <w:between w:val="nil"/>
              </w:pBdr>
              <w:spacing w:line="240" w:lineRule="auto"/>
            </w:pPr>
            <w:r>
              <w:t xml:space="preserve">1.Derechos humanos, equidad de género y no discriminación. </w:t>
            </w:r>
          </w:p>
          <w:p w14:paraId="0DE34E0A" w14:textId="77777777" w:rsidR="00334BC0" w:rsidRDefault="00000000">
            <w:pPr>
              <w:widowControl w:val="0"/>
              <w:pBdr>
                <w:top w:val="nil"/>
                <w:left w:val="nil"/>
                <w:bottom w:val="nil"/>
                <w:right w:val="nil"/>
                <w:between w:val="nil"/>
              </w:pBdr>
              <w:spacing w:line="240" w:lineRule="auto"/>
            </w:pPr>
            <w:r>
              <w:t xml:space="preserve">2. Desarrollo personal y profesional, buen clima de trabajo y aplicación de los derechos laborales. </w:t>
            </w:r>
          </w:p>
          <w:p w14:paraId="0DE34E0B" w14:textId="77777777" w:rsidR="00334BC0" w:rsidRDefault="00000000">
            <w:pPr>
              <w:widowControl w:val="0"/>
              <w:pBdr>
                <w:top w:val="nil"/>
                <w:left w:val="nil"/>
                <w:bottom w:val="nil"/>
                <w:right w:val="nil"/>
                <w:between w:val="nil"/>
              </w:pBdr>
              <w:spacing w:line="240" w:lineRule="auto"/>
            </w:pPr>
            <w:r>
              <w:t xml:space="preserve">3. Medio ambiente (campus sostenible). </w:t>
            </w:r>
          </w:p>
          <w:p w14:paraId="0DE34E0C" w14:textId="77777777" w:rsidR="00334BC0" w:rsidRDefault="00000000">
            <w:pPr>
              <w:widowControl w:val="0"/>
              <w:pBdr>
                <w:top w:val="nil"/>
                <w:left w:val="nil"/>
                <w:bottom w:val="nil"/>
                <w:right w:val="nil"/>
                <w:between w:val="nil"/>
              </w:pBdr>
              <w:spacing w:line="240" w:lineRule="auto"/>
            </w:pPr>
            <w:r>
              <w:t xml:space="preserve">4. Transparencia y democracia (buen gobierno). </w:t>
            </w:r>
          </w:p>
          <w:p w14:paraId="0DE34E0D" w14:textId="77777777" w:rsidR="00334BC0" w:rsidRDefault="00000000">
            <w:pPr>
              <w:widowControl w:val="0"/>
              <w:pBdr>
                <w:top w:val="nil"/>
                <w:left w:val="nil"/>
                <w:bottom w:val="nil"/>
                <w:right w:val="nil"/>
                <w:between w:val="nil"/>
              </w:pBdr>
              <w:spacing w:line="240" w:lineRule="auto"/>
            </w:pPr>
            <w:r>
              <w:t>5. Comunicación y marketing responsables.</w:t>
            </w:r>
          </w:p>
        </w:tc>
      </w:tr>
      <w:tr w:rsidR="00334BC0" w14:paraId="0DE34E14" w14:textId="77777777">
        <w:tc>
          <w:tcPr>
            <w:tcW w:w="4514" w:type="dxa"/>
            <w:shd w:val="clear" w:color="auto" w:fill="auto"/>
            <w:tcMar>
              <w:top w:w="100" w:type="dxa"/>
              <w:left w:w="100" w:type="dxa"/>
              <w:bottom w:w="100" w:type="dxa"/>
              <w:right w:w="100" w:type="dxa"/>
            </w:tcMar>
          </w:tcPr>
          <w:p w14:paraId="0DE34E0F" w14:textId="77777777" w:rsidR="00334BC0" w:rsidRDefault="00000000">
            <w:pPr>
              <w:widowControl w:val="0"/>
              <w:pBdr>
                <w:top w:val="nil"/>
                <w:left w:val="nil"/>
                <w:bottom w:val="nil"/>
                <w:right w:val="nil"/>
                <w:between w:val="nil"/>
              </w:pBdr>
              <w:spacing w:line="240" w:lineRule="auto"/>
              <w:rPr>
                <w:b/>
              </w:rPr>
            </w:pPr>
            <w:r>
              <w:rPr>
                <w:b/>
              </w:rPr>
              <w:t xml:space="preserve">Formación profesional y ciudadana </w:t>
            </w:r>
          </w:p>
        </w:tc>
        <w:tc>
          <w:tcPr>
            <w:tcW w:w="4514" w:type="dxa"/>
            <w:shd w:val="clear" w:color="auto" w:fill="auto"/>
            <w:tcMar>
              <w:top w:w="100" w:type="dxa"/>
              <w:left w:w="100" w:type="dxa"/>
              <w:bottom w:w="100" w:type="dxa"/>
              <w:right w:w="100" w:type="dxa"/>
            </w:tcMar>
          </w:tcPr>
          <w:p w14:paraId="0DE34E10" w14:textId="77777777" w:rsidR="00334BC0" w:rsidRDefault="00000000">
            <w:pPr>
              <w:widowControl w:val="0"/>
              <w:pBdr>
                <w:top w:val="nil"/>
                <w:left w:val="nil"/>
                <w:bottom w:val="nil"/>
                <w:right w:val="nil"/>
                <w:between w:val="nil"/>
              </w:pBdr>
              <w:spacing w:line="240" w:lineRule="auto"/>
            </w:pPr>
            <w:r>
              <w:t xml:space="preserve">1. Presencia de temáticas ciudadanas y de responsabilidad social en el currículo (DD.HH., desarrollo sostenible, ética profesional y cívica, gestión de la RS, etcétera). </w:t>
            </w:r>
          </w:p>
          <w:p w14:paraId="0DE34E11" w14:textId="77777777" w:rsidR="00334BC0" w:rsidRDefault="00000000">
            <w:pPr>
              <w:widowControl w:val="0"/>
              <w:pBdr>
                <w:top w:val="nil"/>
                <w:left w:val="nil"/>
                <w:bottom w:val="nil"/>
                <w:right w:val="nil"/>
                <w:between w:val="nil"/>
              </w:pBdr>
              <w:spacing w:line="240" w:lineRule="auto"/>
            </w:pPr>
            <w:r>
              <w:t xml:space="preserve">2. Articulación entre profesionalización y voluntariado solidario. </w:t>
            </w:r>
          </w:p>
          <w:p w14:paraId="0DE34E12" w14:textId="77777777" w:rsidR="00334BC0" w:rsidRDefault="00000000">
            <w:pPr>
              <w:widowControl w:val="0"/>
              <w:pBdr>
                <w:top w:val="nil"/>
                <w:left w:val="nil"/>
                <w:bottom w:val="nil"/>
                <w:right w:val="nil"/>
                <w:between w:val="nil"/>
              </w:pBdr>
              <w:spacing w:line="240" w:lineRule="auto"/>
            </w:pPr>
            <w:r>
              <w:t xml:space="preserve">3. Aprendizaje profesional basado en proyectos sociales. </w:t>
            </w:r>
          </w:p>
          <w:p w14:paraId="0DE34E13" w14:textId="77777777" w:rsidR="00334BC0" w:rsidRDefault="00000000">
            <w:pPr>
              <w:widowControl w:val="0"/>
              <w:pBdr>
                <w:top w:val="nil"/>
                <w:left w:val="nil"/>
                <w:bottom w:val="nil"/>
                <w:right w:val="nil"/>
                <w:between w:val="nil"/>
              </w:pBdr>
              <w:spacing w:line="240" w:lineRule="auto"/>
            </w:pPr>
            <w:r>
              <w:t>4. Integración de actores sociales externos en el diseño de las mallas curriculares.</w:t>
            </w:r>
          </w:p>
        </w:tc>
      </w:tr>
      <w:tr w:rsidR="00334BC0" w14:paraId="0DE34E19" w14:textId="77777777">
        <w:tc>
          <w:tcPr>
            <w:tcW w:w="4514" w:type="dxa"/>
            <w:shd w:val="clear" w:color="auto" w:fill="auto"/>
            <w:tcMar>
              <w:top w:w="100" w:type="dxa"/>
              <w:left w:w="100" w:type="dxa"/>
              <w:bottom w:w="100" w:type="dxa"/>
              <w:right w:w="100" w:type="dxa"/>
            </w:tcMar>
          </w:tcPr>
          <w:p w14:paraId="0DE34E15" w14:textId="77777777" w:rsidR="00334BC0" w:rsidRDefault="00000000">
            <w:pPr>
              <w:widowControl w:val="0"/>
              <w:spacing w:line="240" w:lineRule="auto"/>
              <w:rPr>
                <w:b/>
              </w:rPr>
            </w:pPr>
            <w:r>
              <w:rPr>
                <w:b/>
              </w:rPr>
              <w:t>Gestión social del conocimiento</w:t>
            </w:r>
          </w:p>
        </w:tc>
        <w:tc>
          <w:tcPr>
            <w:tcW w:w="4514" w:type="dxa"/>
            <w:shd w:val="clear" w:color="auto" w:fill="auto"/>
            <w:tcMar>
              <w:top w:w="100" w:type="dxa"/>
              <w:left w:w="100" w:type="dxa"/>
              <w:bottom w:w="100" w:type="dxa"/>
              <w:right w:w="100" w:type="dxa"/>
            </w:tcMar>
          </w:tcPr>
          <w:p w14:paraId="0DE34E16" w14:textId="77777777" w:rsidR="00334BC0" w:rsidRDefault="00000000">
            <w:pPr>
              <w:widowControl w:val="0"/>
              <w:pBdr>
                <w:top w:val="nil"/>
                <w:left w:val="nil"/>
                <w:bottom w:val="nil"/>
                <w:right w:val="nil"/>
                <w:between w:val="nil"/>
              </w:pBdr>
              <w:spacing w:line="240" w:lineRule="auto"/>
            </w:pPr>
            <w:r>
              <w:t xml:space="preserve">1. Promoción de la inter y transdisciplinariedad. </w:t>
            </w:r>
          </w:p>
          <w:p w14:paraId="0DE34E17" w14:textId="77777777" w:rsidR="00334BC0" w:rsidRDefault="00000000">
            <w:pPr>
              <w:widowControl w:val="0"/>
              <w:pBdr>
                <w:top w:val="nil"/>
                <w:left w:val="nil"/>
                <w:bottom w:val="nil"/>
                <w:right w:val="nil"/>
                <w:between w:val="nil"/>
              </w:pBdr>
              <w:spacing w:line="240" w:lineRule="auto"/>
            </w:pPr>
            <w:r>
              <w:t>2. Integración de actores sociales externos en las investigaciones y el diseño de líneas de investigación</w:t>
            </w:r>
          </w:p>
          <w:p w14:paraId="6A6BABC3" w14:textId="77777777" w:rsidR="00CD6DB3" w:rsidRDefault="00000000">
            <w:pPr>
              <w:widowControl w:val="0"/>
              <w:pBdr>
                <w:top w:val="nil"/>
                <w:left w:val="nil"/>
                <w:bottom w:val="nil"/>
                <w:right w:val="nil"/>
                <w:between w:val="nil"/>
              </w:pBdr>
              <w:spacing w:line="240" w:lineRule="auto"/>
            </w:pPr>
            <w:r>
              <w:t>3. Difusión y transferencia de conocimientos socialmente útiles hacía públicos desfavorecidos.</w:t>
            </w:r>
          </w:p>
          <w:p w14:paraId="0DE34E18" w14:textId="2801DC43" w:rsidR="00334BC0" w:rsidRDefault="00000000">
            <w:pPr>
              <w:widowControl w:val="0"/>
              <w:pBdr>
                <w:top w:val="nil"/>
                <w:left w:val="nil"/>
                <w:bottom w:val="nil"/>
                <w:right w:val="nil"/>
                <w:between w:val="nil"/>
              </w:pBdr>
              <w:spacing w:line="240" w:lineRule="auto"/>
            </w:pPr>
            <w:r>
              <w:t xml:space="preserve"> 4. Promoción de investigaciones aplicadas a temas de desarrollo (Objetivos del Milenio, Pacto Global, etcétera).</w:t>
            </w:r>
          </w:p>
        </w:tc>
      </w:tr>
      <w:tr w:rsidR="00334BC0" w14:paraId="0DE34E1F" w14:textId="77777777">
        <w:tc>
          <w:tcPr>
            <w:tcW w:w="4514" w:type="dxa"/>
            <w:shd w:val="clear" w:color="auto" w:fill="auto"/>
            <w:tcMar>
              <w:top w:w="100" w:type="dxa"/>
              <w:left w:w="100" w:type="dxa"/>
              <w:bottom w:w="100" w:type="dxa"/>
              <w:right w:w="100" w:type="dxa"/>
            </w:tcMar>
          </w:tcPr>
          <w:p w14:paraId="0DE34E1A" w14:textId="77777777" w:rsidR="00334BC0" w:rsidRDefault="00000000">
            <w:pPr>
              <w:widowControl w:val="0"/>
              <w:pBdr>
                <w:top w:val="nil"/>
                <w:left w:val="nil"/>
                <w:bottom w:val="nil"/>
                <w:right w:val="nil"/>
                <w:between w:val="nil"/>
              </w:pBdr>
              <w:spacing w:line="240" w:lineRule="auto"/>
              <w:rPr>
                <w:b/>
              </w:rPr>
            </w:pPr>
            <w:r>
              <w:rPr>
                <w:b/>
              </w:rPr>
              <w:t xml:space="preserve">Participación social </w:t>
            </w:r>
          </w:p>
        </w:tc>
        <w:tc>
          <w:tcPr>
            <w:tcW w:w="4514" w:type="dxa"/>
            <w:shd w:val="clear" w:color="auto" w:fill="auto"/>
            <w:tcMar>
              <w:top w:w="100" w:type="dxa"/>
              <w:left w:w="100" w:type="dxa"/>
              <w:bottom w:w="100" w:type="dxa"/>
              <w:right w:w="100" w:type="dxa"/>
            </w:tcMar>
          </w:tcPr>
          <w:p w14:paraId="0DE34E1B" w14:textId="77777777" w:rsidR="00334BC0" w:rsidRDefault="00000000">
            <w:pPr>
              <w:widowControl w:val="0"/>
              <w:pBdr>
                <w:top w:val="nil"/>
                <w:left w:val="nil"/>
                <w:bottom w:val="nil"/>
                <w:right w:val="nil"/>
                <w:between w:val="nil"/>
              </w:pBdr>
              <w:spacing w:line="240" w:lineRule="auto"/>
            </w:pPr>
            <w:r>
              <w:t>1. Integración de la formación académica con la proyección social.</w:t>
            </w:r>
          </w:p>
          <w:p w14:paraId="0DE34E1C" w14:textId="77777777" w:rsidR="00334BC0" w:rsidRDefault="00000000">
            <w:pPr>
              <w:widowControl w:val="0"/>
              <w:pBdr>
                <w:top w:val="nil"/>
                <w:left w:val="nil"/>
                <w:bottom w:val="nil"/>
                <w:right w:val="nil"/>
                <w:between w:val="nil"/>
              </w:pBdr>
              <w:spacing w:line="240" w:lineRule="auto"/>
            </w:pPr>
            <w:r>
              <w:t xml:space="preserve">2. Lucha contra el asistencialismo y paternalismo en el servicio universitario a la comunidad. </w:t>
            </w:r>
          </w:p>
          <w:p w14:paraId="0DE34E1D" w14:textId="77777777" w:rsidR="00334BC0" w:rsidRDefault="00000000">
            <w:pPr>
              <w:widowControl w:val="0"/>
              <w:pBdr>
                <w:top w:val="nil"/>
                <w:left w:val="nil"/>
                <w:bottom w:val="nil"/>
                <w:right w:val="nil"/>
                <w:between w:val="nil"/>
              </w:pBdr>
              <w:spacing w:line="240" w:lineRule="auto"/>
            </w:pPr>
            <w:r>
              <w:t>3. Promoción de redes sociales para el desarrollo (creación de capital social).</w:t>
            </w:r>
          </w:p>
          <w:p w14:paraId="0DE34E1E" w14:textId="77777777" w:rsidR="00334BC0" w:rsidRDefault="00000000">
            <w:pPr>
              <w:widowControl w:val="0"/>
              <w:pBdr>
                <w:top w:val="nil"/>
                <w:left w:val="nil"/>
                <w:bottom w:val="nil"/>
                <w:right w:val="nil"/>
                <w:between w:val="nil"/>
              </w:pBdr>
              <w:spacing w:line="240" w:lineRule="auto"/>
            </w:pPr>
            <w:r>
              <w:t xml:space="preserve">4. </w:t>
            </w:r>
            <w:proofErr w:type="gramStart"/>
            <w:r>
              <w:t>Participación activa</w:t>
            </w:r>
            <w:proofErr w:type="gramEnd"/>
            <w:r>
              <w:t xml:space="preserve"> en la agenda local y nacional de desarrollo.</w:t>
            </w:r>
          </w:p>
        </w:tc>
      </w:tr>
    </w:tbl>
    <w:p w14:paraId="0DE34E20" w14:textId="77777777" w:rsidR="00334BC0" w:rsidRDefault="00334BC0"/>
    <w:p w14:paraId="235A78B6" w14:textId="77777777" w:rsidR="009F5354" w:rsidRDefault="009F5354"/>
    <w:p w14:paraId="7EB4C991" w14:textId="77777777" w:rsidR="009F5354" w:rsidRDefault="009F5354"/>
    <w:p w14:paraId="06A86FFB" w14:textId="77777777" w:rsidR="009F5354" w:rsidRDefault="009F5354"/>
    <w:p w14:paraId="56CD7B1A" w14:textId="77777777" w:rsidR="009F5354" w:rsidRDefault="009F5354"/>
    <w:p w14:paraId="4B1AAE29" w14:textId="77777777" w:rsidR="009F5354" w:rsidRDefault="009F5354" w:rsidP="009F5354">
      <w:pPr>
        <w:tabs>
          <w:tab w:val="left" w:pos="1134"/>
        </w:tabs>
        <w:spacing w:line="480" w:lineRule="auto"/>
        <w:ind w:firstLine="720"/>
        <w:jc w:val="both"/>
        <w:rPr>
          <w:rFonts w:eastAsia="Times New Roman" w:cs="Times New Roman"/>
          <w:szCs w:val="24"/>
        </w:rPr>
      </w:pPr>
      <w:r>
        <w:rPr>
          <w:rFonts w:eastAsia="Times New Roman" w:cs="Times New Roman"/>
          <w:szCs w:val="24"/>
        </w:rPr>
        <w:lastRenderedPageBreak/>
        <w:t>Es relevante destacar otro tema crucial que involucra la inclusión ambiental en los procesos llevados a cabo por la organización. Se observa que un 53,85% del personal administrativo indica no estar ni de acuerdo ni en desacuerdo en cuanto a la existencia de prácticas o estrategias para la protección del medio ambiente en la EEIE. Este resultado podría atribuirse a dos posibles razones: la primera podría ser la falta de conocimiento o información proporcionada por parte de la UAA, mientras que la segunda podría ser la ausencia de proyectos, acciones o estrategias en pro del cuidado del entorno, lo que podría explicar la percepción indecisa de los encuestados en este aspecto.</w:t>
      </w:r>
    </w:p>
    <w:p w14:paraId="13B1B567" w14:textId="77777777" w:rsidR="00EE749A" w:rsidRDefault="00EE749A" w:rsidP="00EE749A">
      <w:pPr>
        <w:tabs>
          <w:tab w:val="left" w:pos="1134"/>
        </w:tabs>
        <w:spacing w:line="480" w:lineRule="auto"/>
        <w:ind w:firstLine="720"/>
        <w:jc w:val="both"/>
        <w:rPr>
          <w:rFonts w:eastAsia="Times New Roman" w:cs="Times New Roman"/>
        </w:rPr>
      </w:pPr>
      <w:r w:rsidRPr="41476E25">
        <w:rPr>
          <w:rFonts w:eastAsia="Times New Roman" w:cs="Times New Roman"/>
        </w:rPr>
        <w:t xml:space="preserve">La </w:t>
      </w:r>
      <w:r w:rsidRPr="19EF6A07">
        <w:rPr>
          <w:rFonts w:eastAsia="Times New Roman" w:cs="Times New Roman"/>
        </w:rPr>
        <w:t>Figura</w:t>
      </w:r>
      <w:r w:rsidRPr="41476E25">
        <w:rPr>
          <w:rFonts w:eastAsia="Times New Roman" w:cs="Times New Roman"/>
        </w:rPr>
        <w:t xml:space="preserve"> 25 refuerza la percepción de una brecha de información o la falta de programas promovidos por la entidad en relación con temas ambientales. El personal administrativo manifiesta que no está ni de acuerdo ni en desacuerdo con conocer los programas que se desarrollan dentro de la EEIE para promover la segregación adecuada ande residuos, con un 66,67%. Además, un 22,22% de la población encuestada se encuentra en desacuerdo en este aspecto. Estos resultados indican la importancia de mejorar la comunicación y la conciencia sobre las iniciativas ambientales en la organización, así como de fortalecer los programas relacionados con la gestión adecuada de residuos para el personal administrativo.</w:t>
      </w:r>
    </w:p>
    <w:p w14:paraId="3586624C" w14:textId="77777777" w:rsidR="0052049A" w:rsidRDefault="0052049A" w:rsidP="0052049A">
      <w:pPr>
        <w:tabs>
          <w:tab w:val="left" w:pos="1134"/>
        </w:tabs>
        <w:spacing w:line="480" w:lineRule="auto"/>
        <w:ind w:firstLine="720"/>
        <w:jc w:val="both"/>
        <w:rPr>
          <w:rFonts w:eastAsia="Times New Roman" w:cs="Times New Roman"/>
          <w:szCs w:val="24"/>
        </w:rPr>
      </w:pPr>
      <w:r>
        <w:rPr>
          <w:rFonts w:eastAsia="Times New Roman" w:cs="Times New Roman"/>
          <w:szCs w:val="24"/>
        </w:rPr>
        <w:t>El compromiso socioambiental que toma cualquier institución ya sea pública o privada permite que mediante distintas acciones impacten de manera positiva a los procesos transversales, las compras sostenibles se encuentran en dicha serie de actividades, según la gráfica 32 el 53,85% de los encuestados afirma no estar ni de acuerdo ni en desacuerdo en si en la EEIE se realizan compras sostenibles, teniendo en cuenta distintos criterios. Así mismo se evidencia que un 30,77% está de acuerdo en que, si existen. Esta discrepancia en las respuestas sugiere que podría ser necesaria una mayor difusión y comunicación del proceso entre proveedores y la UAA.</w:t>
      </w:r>
    </w:p>
    <w:p w14:paraId="05CEDAEB" w14:textId="77777777" w:rsidR="009F5354" w:rsidRDefault="009F5354"/>
    <w:sectPr w:rsidR="009F535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BC0"/>
    <w:rsid w:val="00334BC0"/>
    <w:rsid w:val="0052049A"/>
    <w:rsid w:val="009F5354"/>
    <w:rsid w:val="00CD6DB3"/>
    <w:rsid w:val="00EE74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4E03"/>
  <w15:docId w15:val="{8B9BFE26-008D-44C2-970E-3EF06552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558</Words>
  <Characters>3071</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MATTA</cp:lastModifiedBy>
  <cp:revision>5</cp:revision>
  <dcterms:created xsi:type="dcterms:W3CDTF">2023-10-04T14:59:00Z</dcterms:created>
  <dcterms:modified xsi:type="dcterms:W3CDTF">2023-10-04T19:36:00Z</dcterms:modified>
</cp:coreProperties>
</file>